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328A" w:rsidRPr="008C1716" w:rsidTr="00F04A80">
        <w:trPr>
          <w:tblCellSpacing w:w="0" w:type="dxa"/>
        </w:trPr>
        <w:tc>
          <w:tcPr>
            <w:tcW w:w="0" w:type="auto"/>
            <w:hideMark/>
          </w:tcPr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  <w:u w:val="single"/>
              </w:rPr>
              <w:t xml:space="preserve">10 Hadith’s On The Importance of Manners 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1) Abu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Darda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(RA) reported that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Rasulullah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(SAW) said, “Nothing is weightier on the Scale of Deeds than one’s good manners.”(Al-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Bukhari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)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br/>
              <w:t xml:space="preserve">2) Abu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Hurairah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(RA) said, “I heard Abu al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Qasim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Rasulullah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(SAW)), say, ‘The best among you in Islam are those with the best manners, so long as they develop a sense of understanding.” (Al-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Bukhari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)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br/>
              <w:t xml:space="preserve">3)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Rasulullah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(SAW) said: “The most beloved of Allah’s servants to Allah are those with the best manners.” (At-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Tabarâni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and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Albani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authenticated it in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Silsilatul-AHaadeethis-Saheehah</w:t>
            </w:r>
            <w:proofErr w:type="spellEnd"/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br/>
              <w:t xml:space="preserve">4)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Abd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Allah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ibn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‘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Amr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said, “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Rasulullah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(SAW) was never obscene or coarse. Rather, he used to tell us that the best among us were those with the best manners.” (Al-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Bukhari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)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br/>
              <w:t xml:space="preserve">5)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Anas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(RA) said, “I served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Rasulullah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(SAW) for ten years. During that time, he never once said to me as much as ‘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Oof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’ if I did something wrong. He never asked me, if I had failed to do something, ‘Why did you not do it</w:t>
            </w:r>
            <w:proofErr w:type="gram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?,</w:t>
            </w:r>
            <w:proofErr w:type="gram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’ and he never said to me, if I had done something wrong, ‘Why did you do it?” (Al-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Bukhari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)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br/>
              <w:t xml:space="preserve">6) Abu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Hurairah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(RA) said that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Rasulullah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(SAW) said, “If one has good manners, one may attain the same level of merit as those who spend their nights in prayer.” (Al-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Bukhari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)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7) Abu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Hurairah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reported that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Rasulullah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(SAW) said, “And what is most likely to send people to Paradise? Being conscious of Allah and good manners.” (Al-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Bukhari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)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br/>
              <w:t xml:space="preserve">8)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Nawas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ibn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Sam’an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reported that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Rasulullah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(SAW) was asked about doing good and evil. He replied, “Doing </w:t>
            </w:r>
            <w:proofErr w:type="gram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good</w:t>
            </w:r>
            <w:proofErr w:type="gram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is having good manners. Doing evil is what troubles you inside and what you would not like others to know about.” (Al-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Bukhari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)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br/>
              <w:t xml:space="preserve">9) 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Rasulullah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 xml:space="preserve"> (SAW) said, “He who does not show mercy to our young or show esteem for our elders is not one of us.” (Al-</w:t>
            </w:r>
            <w:proofErr w:type="spellStart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Bukhari</w:t>
            </w:r>
            <w:proofErr w:type="spellEnd"/>
            <w:r w:rsidRPr="008C1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4"/>
                <w:szCs w:val="24"/>
              </w:rPr>
              <w:t>)</w:t>
            </w:r>
          </w:p>
          <w:p w:rsidR="00E4328A" w:rsidRPr="008C1716" w:rsidRDefault="00E4328A" w:rsidP="00F0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328A" w:rsidRPr="008C1716" w:rsidRDefault="00E4328A" w:rsidP="00E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16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</w:rPr>
        <w:t xml:space="preserve">10) Abu </w:t>
      </w:r>
      <w:proofErr w:type="spellStart"/>
      <w:r w:rsidRPr="008C1716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</w:rPr>
        <w:t>Hurairah</w:t>
      </w:r>
      <w:proofErr w:type="spellEnd"/>
      <w:r w:rsidRPr="008C1716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</w:rPr>
        <w:t xml:space="preserve"> (RA) reported that </w:t>
      </w:r>
      <w:proofErr w:type="spellStart"/>
      <w:r w:rsidRPr="008C1716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</w:rPr>
        <w:t>Rasulullah</w:t>
      </w:r>
      <w:proofErr w:type="spellEnd"/>
      <w:r w:rsidRPr="008C1716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</w:rPr>
        <w:t xml:space="preserve"> (SAW) said: “Richness does not lie in the abundance of (worldly) goods, but richness is the richness of the soul (heart, self).”</w:t>
      </w:r>
    </w:p>
    <w:p w:rsidR="00B679FA" w:rsidRDefault="00B679FA">
      <w:bookmarkStart w:id="0" w:name="_GoBack"/>
      <w:bookmarkEnd w:id="0"/>
    </w:p>
    <w:sectPr w:rsidR="00B6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8A"/>
    <w:rsid w:val="00B679FA"/>
    <w:rsid w:val="00E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dbstech</dc:creator>
  <cp:lastModifiedBy>dbstech</cp:lastModifiedBy>
  <cp:revision>1</cp:revision>
  <dcterms:created xsi:type="dcterms:W3CDTF">2012-07-10T15:51:00Z</dcterms:created>
  <dcterms:modified xsi:type="dcterms:W3CDTF">2012-07-10T15:51:00Z</dcterms:modified>
</cp:coreProperties>
</file>